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3A214D" w14:textId="77777777" w:rsidR="008D477F" w:rsidRDefault="008D477F">
      <w:pPr>
        <w:pStyle w:val="BodyText"/>
        <w:spacing w:before="13"/>
        <w:ind w:firstLine="0"/>
        <w:rPr>
          <w:sz w:val="28"/>
        </w:rPr>
      </w:pPr>
    </w:p>
    <w:p w14:paraId="2E1C3056" w14:textId="1645CB87" w:rsidR="008D477F" w:rsidRPr="006A0A97" w:rsidRDefault="00000000" w:rsidP="006A0A97">
      <w:pPr>
        <w:jc w:val="center"/>
        <w:rPr>
          <w:sz w:val="36"/>
          <w:szCs w:val="36"/>
        </w:rPr>
      </w:pPr>
      <w:r>
        <w:rPr>
          <w:sz w:val="36"/>
          <w:szCs w:val="36"/>
        </w:rPr>
        <w:t>Collaborative SPTA PSYPACT Webinar Agreement</w:t>
      </w:r>
    </w:p>
    <w:p w14:paraId="0A7710EA" w14:textId="77777777" w:rsidR="008D477F" w:rsidRDefault="008D477F">
      <w:pPr>
        <w:pStyle w:val="BodyText"/>
        <w:ind w:firstLine="0"/>
        <w:rPr>
          <w:b/>
        </w:rPr>
      </w:pPr>
    </w:p>
    <w:p w14:paraId="14D08C6F" w14:textId="77777777" w:rsidR="008D477F" w:rsidRDefault="008D477F">
      <w:pPr>
        <w:pStyle w:val="BodyText"/>
        <w:spacing w:before="117"/>
        <w:ind w:firstLine="0"/>
        <w:rPr>
          <w:b/>
        </w:rPr>
      </w:pPr>
    </w:p>
    <w:p w14:paraId="1FA828A0" w14:textId="1E55CCEC" w:rsidR="008D477F" w:rsidRPr="00B63DB4" w:rsidRDefault="00000000">
      <w:pPr>
        <w:pStyle w:val="BodyText"/>
        <w:spacing w:line="247" w:lineRule="auto"/>
        <w:ind w:right="419" w:firstLine="0"/>
        <w:jc w:val="both"/>
        <w:rPr>
          <w:sz w:val="22"/>
          <w:szCs w:val="22"/>
        </w:rPr>
      </w:pPr>
      <w:r>
        <w:rPr>
          <w:color w:val="231F20"/>
          <w:sz w:val="22"/>
          <w:szCs w:val="22"/>
        </w:rPr>
        <w:t>This agreement is between the Alaska Psychological Association (AK-PA) and [SPTA NAME], referred to below as “SPTA.” The Alaska Psychological Association is approved by the American Psychological Association to sponsor continuing education for psychologists. The Alaska Psychological Association maintains responsibility for this program and its content.</w:t>
      </w:r>
    </w:p>
    <w:p w14:paraId="112B36FD" w14:textId="77777777" w:rsidR="008D477F" w:rsidRPr="00B63DB4" w:rsidRDefault="008D477F">
      <w:pPr>
        <w:pStyle w:val="BodyText"/>
        <w:spacing w:before="71"/>
        <w:ind w:firstLine="0"/>
        <w:rPr>
          <w:sz w:val="22"/>
          <w:szCs w:val="22"/>
        </w:rPr>
      </w:pPr>
    </w:p>
    <w:p w14:paraId="41E9543A" w14:textId="22F4664C" w:rsidR="008D477F" w:rsidRPr="00B63DB4" w:rsidRDefault="006A0A97">
      <w:pPr>
        <w:pStyle w:val="Heading2"/>
        <w:rPr>
          <w:sz w:val="22"/>
          <w:szCs w:val="22"/>
        </w:rPr>
      </w:pPr>
      <w:r w:rsidRPr="00B63DB4">
        <w:rPr>
          <w:color w:val="231F20"/>
          <w:spacing w:val="-7"/>
          <w:sz w:val="22"/>
          <w:szCs w:val="22"/>
        </w:rPr>
        <w:t xml:space="preserve">AK-PA </w:t>
      </w:r>
      <w:r w:rsidRPr="00B63DB4">
        <w:rPr>
          <w:color w:val="231F20"/>
          <w:spacing w:val="-2"/>
          <w:sz w:val="22"/>
          <w:szCs w:val="22"/>
        </w:rPr>
        <w:t>Responsibilities:</w:t>
      </w:r>
    </w:p>
    <w:p w14:paraId="2F50FBC4" w14:textId="3A961522" w:rsidR="008D477F" w:rsidRPr="00B63DB4" w:rsidRDefault="006A0A97">
      <w:pPr>
        <w:pStyle w:val="ListParagraph"/>
        <w:numPr>
          <w:ilvl w:val="0"/>
          <w:numId w:val="2"/>
        </w:numPr>
        <w:tabs>
          <w:tab w:val="left" w:pos="300"/>
        </w:tabs>
        <w:spacing w:before="1" w:line="249" w:lineRule="auto"/>
        <w:ind w:right="417"/>
        <w:jc w:val="both"/>
      </w:pPr>
      <w:r>
        <w:rPr>
          <w:color w:val="231F20"/>
        </w:rPr>
        <w:t>AK-PA has secured Janet Orwig, PSYPACT Executive Director, to present a live virtual three-hour workshop on Friday, October 16, 2026, from 9:00 a.m. to 12:15 p.m. AKDT (1:00 p.m. to 4:15 p.m. EDT), including a 15-minute break. AK-PA will provide SPTA with the information required to review and promote the program, including the title, description, learning objectives, program rationale, Instructor’s name and qualifications, and other available program information reasonably requested by SPTA.</w:t>
      </w:r>
    </w:p>
    <w:p w14:paraId="35C1F18A" w14:textId="22B15CF6" w:rsidR="00CC7531" w:rsidRPr="00CC7531" w:rsidRDefault="006A0A97" w:rsidP="00CC7531">
      <w:pPr>
        <w:pStyle w:val="ListParagraph"/>
        <w:numPr>
          <w:ilvl w:val="0"/>
          <w:numId w:val="2"/>
        </w:numPr>
        <w:tabs>
          <w:tab w:val="left" w:pos="300"/>
        </w:tabs>
        <w:spacing w:before="184" w:line="249" w:lineRule="auto"/>
        <w:ind w:right="505"/>
      </w:pPr>
      <w:r>
        <w:rPr>
          <w:color w:val="231F20"/>
        </w:rPr>
        <w:t xml:space="preserve">AK-PA will host the program using Zoom Meeting and will upgrade to Zoom Webinar if requested by the </w:t>
      </w:r>
      <w:proofErr w:type="gramStart"/>
      <w:r>
        <w:rPr>
          <w:color w:val="231F20"/>
        </w:rPr>
        <w:t>Instructor</w:t>
      </w:r>
      <w:proofErr w:type="gramEnd"/>
      <w:r>
        <w:rPr>
          <w:color w:val="231F20"/>
        </w:rPr>
        <w:t xml:space="preserve"> or if more than 300 attendees are anticipated.</w:t>
      </w:r>
    </w:p>
    <w:p w14:paraId="50D76365" w14:textId="6487B722" w:rsidR="008D477F" w:rsidRPr="00B63DB4" w:rsidRDefault="00CC7531">
      <w:pPr>
        <w:pStyle w:val="ListParagraph"/>
        <w:numPr>
          <w:ilvl w:val="0"/>
          <w:numId w:val="2"/>
        </w:numPr>
        <w:tabs>
          <w:tab w:val="left" w:pos="300"/>
        </w:tabs>
        <w:spacing w:before="184" w:line="249" w:lineRule="auto"/>
        <w:ind w:right="505"/>
      </w:pPr>
      <w:r>
        <w:rPr>
          <w:color w:val="231F20"/>
        </w:rPr>
        <w:t>AK-PA will provide a Zoom access link to each SPTA for distribution to its registered attendees. AK-PA will oversee the webinar, introduce Janet Orwig, and assist the Instructor with participant questions.</w:t>
      </w:r>
    </w:p>
    <w:p w14:paraId="720D07AF" w14:textId="4DC8814A" w:rsidR="008D477F" w:rsidRPr="00B63DB4" w:rsidRDefault="006A0A97">
      <w:pPr>
        <w:pStyle w:val="ListParagraph"/>
        <w:numPr>
          <w:ilvl w:val="0"/>
          <w:numId w:val="2"/>
        </w:numPr>
        <w:tabs>
          <w:tab w:val="left" w:pos="300"/>
        </w:tabs>
        <w:spacing w:line="249" w:lineRule="auto"/>
        <w:ind w:right="566"/>
      </w:pPr>
      <w:r>
        <w:rPr>
          <w:color w:val="231F20"/>
        </w:rPr>
        <w:t xml:space="preserve">AK-PA will download the Zoom attendance report after the webinar and provide each participating SPTA with the attendance information applicable to </w:t>
      </w:r>
      <w:proofErr w:type="gramStart"/>
      <w:r>
        <w:rPr>
          <w:color w:val="231F20"/>
        </w:rPr>
        <w:t>that SPTA’s registrants</w:t>
      </w:r>
      <w:proofErr w:type="gramEnd"/>
      <w:r>
        <w:rPr>
          <w:color w:val="231F20"/>
        </w:rPr>
        <w:t>. Each SPTA is responsible for verifying the complete attendance of its participants. AK-PA will not provide one SPTA with participant email addresses or registration information belonging to another SPTA.</w:t>
      </w:r>
    </w:p>
    <w:p w14:paraId="78ECB749" w14:textId="15945123" w:rsidR="008D477F" w:rsidRPr="00B63DB4" w:rsidRDefault="00000000">
      <w:pPr>
        <w:pStyle w:val="ListParagraph"/>
        <w:numPr>
          <w:ilvl w:val="1"/>
          <w:numId w:val="2"/>
        </w:numPr>
        <w:tabs>
          <w:tab w:val="left" w:pos="640"/>
        </w:tabs>
        <w:spacing w:before="3" w:line="249" w:lineRule="auto"/>
        <w:ind w:right="1081"/>
      </w:pPr>
      <w:r>
        <w:rPr>
          <w:color w:val="231F20"/>
        </w:rPr>
        <w:t>Each attendee will be asked during the opening announcements to display their full name and the abbreviation of the state through which they registered.</w:t>
      </w:r>
    </w:p>
    <w:p w14:paraId="2C406F52" w14:textId="4ED36D09" w:rsidR="008D477F" w:rsidRPr="00B63DB4" w:rsidRDefault="00000000">
      <w:pPr>
        <w:pStyle w:val="ListParagraph"/>
        <w:numPr>
          <w:ilvl w:val="1"/>
          <w:numId w:val="2"/>
        </w:numPr>
        <w:tabs>
          <w:tab w:val="left" w:pos="640"/>
        </w:tabs>
        <w:spacing w:before="1" w:line="249" w:lineRule="auto"/>
        <w:ind w:right="667"/>
      </w:pPr>
      <w:r>
        <w:rPr>
          <w:color w:val="231F20"/>
        </w:rPr>
        <w:t>SPTA will provide the registrant information described in SPTA Responsibility 5. AK-PA will use this information and the Zoom attendance report only to administer this program, verify attendance, and fulfill applicable continuing education recordkeeping obligations. Participant information will not be shared with nonparticipating SPTAs or outside organizations except as required by law.</w:t>
      </w:r>
    </w:p>
    <w:p w14:paraId="3EFB63BF" w14:textId="3FC0DAB8" w:rsidR="008D477F" w:rsidRPr="00B63DB4" w:rsidRDefault="006A0A97" w:rsidP="00243CBD">
      <w:pPr>
        <w:pStyle w:val="ListParagraph"/>
        <w:numPr>
          <w:ilvl w:val="0"/>
          <w:numId w:val="2"/>
        </w:numPr>
        <w:tabs>
          <w:tab w:val="left" w:pos="300"/>
        </w:tabs>
        <w:spacing w:before="183" w:line="249" w:lineRule="auto"/>
        <w:ind w:right="531" w:hanging="301"/>
        <w:rPr>
          <w:b/>
          <w:bCs/>
          <w:i/>
          <w:iCs/>
        </w:rPr>
      </w:pPr>
      <w:r w:rsidRPr="00B63DB4">
        <w:rPr>
          <w:color w:val="231F20"/>
        </w:rPr>
        <w:t>AK-PA will</w:t>
      </w:r>
      <w:r w:rsidRPr="00B63DB4">
        <w:rPr>
          <w:color w:val="231F20"/>
          <w:spacing w:val="-12"/>
        </w:rPr>
        <w:t xml:space="preserve"> </w:t>
      </w:r>
      <w:r w:rsidRPr="00B63DB4">
        <w:rPr>
          <w:color w:val="231F20"/>
        </w:rPr>
        <w:t>provide</w:t>
      </w:r>
      <w:r w:rsidRPr="00B63DB4">
        <w:rPr>
          <w:color w:val="231F20"/>
          <w:spacing w:val="-7"/>
        </w:rPr>
        <w:t xml:space="preserve"> </w:t>
      </w:r>
      <w:r w:rsidRPr="00B63DB4">
        <w:rPr>
          <w:color w:val="231F20"/>
        </w:rPr>
        <w:t>basic</w:t>
      </w:r>
      <w:r w:rsidRPr="00B63DB4">
        <w:rPr>
          <w:color w:val="231F20"/>
          <w:spacing w:val="-6"/>
        </w:rPr>
        <w:t xml:space="preserve"> </w:t>
      </w:r>
      <w:r w:rsidRPr="00B63DB4">
        <w:rPr>
          <w:color w:val="231F20"/>
        </w:rPr>
        <w:t>marketing</w:t>
      </w:r>
      <w:r w:rsidRPr="00B63DB4">
        <w:rPr>
          <w:color w:val="231F20"/>
          <w:spacing w:val="-6"/>
        </w:rPr>
        <w:t xml:space="preserve"> </w:t>
      </w:r>
      <w:r w:rsidRPr="00B63DB4">
        <w:rPr>
          <w:color w:val="231F20"/>
        </w:rPr>
        <w:t>materials</w:t>
      </w:r>
      <w:r w:rsidRPr="00B63DB4">
        <w:rPr>
          <w:color w:val="231F20"/>
          <w:spacing w:val="-7"/>
        </w:rPr>
        <w:t xml:space="preserve"> </w:t>
      </w:r>
      <w:r w:rsidRPr="00B63DB4">
        <w:rPr>
          <w:color w:val="231F20"/>
        </w:rPr>
        <w:t>that</w:t>
      </w:r>
      <w:r w:rsidRPr="00B63DB4">
        <w:rPr>
          <w:color w:val="231F20"/>
          <w:spacing w:val="-6"/>
        </w:rPr>
        <w:t xml:space="preserve"> </w:t>
      </w:r>
      <w:r w:rsidRPr="00B63DB4">
        <w:rPr>
          <w:color w:val="231F20"/>
        </w:rPr>
        <w:t>can</w:t>
      </w:r>
      <w:r w:rsidRPr="00B63DB4">
        <w:rPr>
          <w:color w:val="231F20"/>
          <w:spacing w:val="-6"/>
        </w:rPr>
        <w:t xml:space="preserve"> </w:t>
      </w:r>
      <w:r w:rsidRPr="00B63DB4">
        <w:rPr>
          <w:color w:val="231F20"/>
        </w:rPr>
        <w:t>be</w:t>
      </w:r>
      <w:r w:rsidRPr="00B63DB4">
        <w:rPr>
          <w:color w:val="231F20"/>
          <w:spacing w:val="-6"/>
        </w:rPr>
        <w:t xml:space="preserve"> </w:t>
      </w:r>
      <w:r w:rsidRPr="00B63DB4">
        <w:rPr>
          <w:color w:val="231F20"/>
        </w:rPr>
        <w:t>personalized</w:t>
      </w:r>
      <w:r w:rsidRPr="00B63DB4">
        <w:rPr>
          <w:color w:val="231F20"/>
          <w:spacing w:val="-6"/>
        </w:rPr>
        <w:t xml:space="preserve"> </w:t>
      </w:r>
      <w:r w:rsidRPr="00B63DB4">
        <w:rPr>
          <w:color w:val="231F20"/>
        </w:rPr>
        <w:t>for</w:t>
      </w:r>
      <w:r w:rsidRPr="00B63DB4">
        <w:rPr>
          <w:color w:val="231F20"/>
          <w:spacing w:val="-6"/>
        </w:rPr>
        <w:t xml:space="preserve"> </w:t>
      </w:r>
      <w:r w:rsidRPr="00B63DB4">
        <w:rPr>
          <w:color w:val="231F20"/>
        </w:rPr>
        <w:t>each</w:t>
      </w:r>
      <w:r w:rsidRPr="00B63DB4">
        <w:rPr>
          <w:color w:val="231F20"/>
          <w:spacing w:val="-6"/>
        </w:rPr>
        <w:t xml:space="preserve"> </w:t>
      </w:r>
      <w:r w:rsidRPr="00B63DB4">
        <w:rPr>
          <w:color w:val="231F20"/>
        </w:rPr>
        <w:t>SPTA.</w:t>
      </w:r>
      <w:r w:rsidRPr="00B63DB4">
        <w:rPr>
          <w:color w:val="231F20"/>
          <w:spacing w:val="-13"/>
        </w:rPr>
        <w:t xml:space="preserve"> </w:t>
      </w:r>
      <w:r w:rsidRPr="00B63DB4">
        <w:rPr>
          <w:color w:val="231F20"/>
        </w:rPr>
        <w:t>Available</w:t>
      </w:r>
      <w:r w:rsidRPr="00B63DB4">
        <w:rPr>
          <w:color w:val="231F20"/>
          <w:spacing w:val="-6"/>
        </w:rPr>
        <w:t xml:space="preserve"> </w:t>
      </w:r>
      <w:r w:rsidRPr="00B63DB4">
        <w:rPr>
          <w:color w:val="231F20"/>
        </w:rPr>
        <w:t>at:</w:t>
      </w:r>
      <w:r w:rsidRPr="00B63DB4">
        <w:rPr>
          <w:color w:val="231F20"/>
          <w:spacing w:val="-6"/>
        </w:rPr>
        <w:t xml:space="preserve"> </w:t>
      </w:r>
      <w:hyperlink r:id="rId5" w:history="1">
        <w:r w:rsidR="00243CBD" w:rsidRPr="00B63DB4">
          <w:rPr>
            <w:rStyle w:val="Hyperlink"/>
            <w:spacing w:val="-6"/>
          </w:rPr>
          <w:t>https://www.ak-pa.org/psypact-cesppa-collaborators/</w:t>
        </w:r>
      </w:hyperlink>
      <w:proofErr w:type="gramStart"/>
      <w:r w:rsidR="00243CBD" w:rsidRPr="00B63DB4">
        <w:rPr>
          <w:color w:val="231F20"/>
          <w:spacing w:val="-6"/>
        </w:rPr>
        <w:t xml:space="preserve">   </w:t>
      </w:r>
      <w:r w:rsidRPr="00B63DB4">
        <w:rPr>
          <w:b/>
          <w:bCs/>
          <w:i/>
          <w:iCs/>
          <w:color w:val="231F20"/>
        </w:rPr>
        <w:t>(</w:t>
      </w:r>
      <w:proofErr w:type="gramEnd"/>
      <w:r w:rsidRPr="00B63DB4">
        <w:rPr>
          <w:b/>
          <w:bCs/>
          <w:i/>
          <w:iCs/>
          <w:color w:val="231F20"/>
          <w:highlight w:val="yellow"/>
        </w:rPr>
        <w:t>Do not share this link</w:t>
      </w:r>
      <w:r w:rsidR="00243CBD" w:rsidRPr="00B63DB4">
        <w:rPr>
          <w:b/>
          <w:bCs/>
          <w:i/>
          <w:iCs/>
          <w:color w:val="231F20"/>
          <w:highlight w:val="yellow"/>
        </w:rPr>
        <w:t xml:space="preserve"> to members or the public!</w:t>
      </w:r>
      <w:r w:rsidRPr="00B63DB4">
        <w:rPr>
          <w:b/>
          <w:bCs/>
          <w:i/>
          <w:iCs/>
          <w:color w:val="231F20"/>
          <w:highlight w:val="yellow"/>
        </w:rPr>
        <w:t>)</w:t>
      </w:r>
    </w:p>
    <w:p w14:paraId="4D2E70C0" w14:textId="633DBD31" w:rsidR="008D477F" w:rsidRPr="00B63DB4" w:rsidRDefault="006A0A97">
      <w:pPr>
        <w:pStyle w:val="ListParagraph"/>
        <w:numPr>
          <w:ilvl w:val="0"/>
          <w:numId w:val="2"/>
        </w:numPr>
        <w:tabs>
          <w:tab w:val="left" w:pos="300"/>
        </w:tabs>
      </w:pPr>
      <w:r>
        <w:rPr>
          <w:color w:val="231F20"/>
        </w:rPr>
        <w:t>Subject to the Instructor’s written authorization, AK-PA will provide the webinar recording within five business days after the live event to each participating SPTA authorized to offer the program as a homestudy continuing education activity.</w:t>
      </w:r>
    </w:p>
    <w:p w14:paraId="09A851D7" w14:textId="65240C75" w:rsidR="008D477F" w:rsidRPr="00B63DB4" w:rsidRDefault="006A0A97">
      <w:pPr>
        <w:pStyle w:val="ListParagraph"/>
        <w:numPr>
          <w:ilvl w:val="0"/>
          <w:numId w:val="2"/>
        </w:numPr>
        <w:tabs>
          <w:tab w:val="left" w:pos="300"/>
        </w:tabs>
        <w:spacing w:before="190" w:line="249" w:lineRule="auto"/>
        <w:ind w:right="1052"/>
      </w:pPr>
      <w:r>
        <w:rPr>
          <w:color w:val="231F20"/>
        </w:rPr>
        <w:t>No presenter honorarium is due for this program. If a Zoom Webinar upgrade is required, AK-PA will include its own registrants when allocating the upgrade fee among AK-PA and the participating SPTAs on a pro rata basis.</w:t>
      </w:r>
    </w:p>
    <w:p w14:paraId="195861A6" w14:textId="34A0DB35" w:rsidR="008D477F" w:rsidRPr="00B63DB4" w:rsidRDefault="006A0A97">
      <w:pPr>
        <w:pStyle w:val="ListParagraph"/>
        <w:numPr>
          <w:ilvl w:val="0"/>
          <w:numId w:val="2"/>
        </w:numPr>
        <w:tabs>
          <w:tab w:val="left" w:pos="300"/>
        </w:tabs>
      </w:pPr>
      <w:r w:rsidRPr="00B63DB4">
        <w:rPr>
          <w:color w:val="231F20"/>
        </w:rPr>
        <w:t>AK-PA will</w:t>
      </w:r>
      <w:r w:rsidRPr="00B63DB4">
        <w:rPr>
          <w:color w:val="231F20"/>
          <w:spacing w:val="-8"/>
        </w:rPr>
        <w:t xml:space="preserve"> </w:t>
      </w:r>
      <w:r w:rsidRPr="00B63DB4">
        <w:rPr>
          <w:color w:val="231F20"/>
        </w:rPr>
        <w:t>provide</w:t>
      </w:r>
      <w:r w:rsidRPr="00B63DB4">
        <w:rPr>
          <w:color w:val="231F20"/>
          <w:spacing w:val="-3"/>
        </w:rPr>
        <w:t xml:space="preserve"> </w:t>
      </w:r>
      <w:r w:rsidRPr="00B63DB4">
        <w:rPr>
          <w:color w:val="231F20"/>
        </w:rPr>
        <w:t>SPTA</w:t>
      </w:r>
      <w:r w:rsidRPr="00B63DB4">
        <w:rPr>
          <w:color w:val="231F20"/>
          <w:spacing w:val="-13"/>
        </w:rPr>
        <w:t xml:space="preserve"> </w:t>
      </w:r>
      <w:r w:rsidRPr="00B63DB4">
        <w:rPr>
          <w:color w:val="231F20"/>
        </w:rPr>
        <w:t>with</w:t>
      </w:r>
      <w:r w:rsidRPr="00B63DB4">
        <w:rPr>
          <w:color w:val="231F20"/>
          <w:spacing w:val="-3"/>
        </w:rPr>
        <w:t xml:space="preserve"> </w:t>
      </w:r>
      <w:r w:rsidRPr="00B63DB4">
        <w:rPr>
          <w:color w:val="231F20"/>
        </w:rPr>
        <w:t>an</w:t>
      </w:r>
      <w:r w:rsidRPr="00B63DB4">
        <w:rPr>
          <w:color w:val="231F20"/>
          <w:spacing w:val="-4"/>
        </w:rPr>
        <w:t xml:space="preserve"> </w:t>
      </w:r>
      <w:r w:rsidRPr="00B63DB4">
        <w:rPr>
          <w:color w:val="231F20"/>
        </w:rPr>
        <w:t>invoice</w:t>
      </w:r>
      <w:r w:rsidRPr="00B63DB4">
        <w:rPr>
          <w:color w:val="231F20"/>
          <w:spacing w:val="-3"/>
        </w:rPr>
        <w:t xml:space="preserve"> </w:t>
      </w:r>
      <w:r w:rsidRPr="00B63DB4">
        <w:rPr>
          <w:color w:val="231F20"/>
        </w:rPr>
        <w:t>for</w:t>
      </w:r>
      <w:r w:rsidRPr="00B63DB4">
        <w:rPr>
          <w:color w:val="231F20"/>
          <w:spacing w:val="-3"/>
        </w:rPr>
        <w:t xml:space="preserve"> </w:t>
      </w:r>
      <w:r w:rsidRPr="00B63DB4">
        <w:rPr>
          <w:color w:val="231F20"/>
        </w:rPr>
        <w:t>fees</w:t>
      </w:r>
      <w:r w:rsidRPr="00B63DB4">
        <w:rPr>
          <w:color w:val="231F20"/>
          <w:spacing w:val="-5"/>
        </w:rPr>
        <w:t xml:space="preserve"> </w:t>
      </w:r>
      <w:r w:rsidRPr="00B63DB4">
        <w:rPr>
          <w:color w:val="231F20"/>
        </w:rPr>
        <w:t>within</w:t>
      </w:r>
      <w:r w:rsidRPr="00B63DB4">
        <w:rPr>
          <w:color w:val="231F20"/>
          <w:spacing w:val="-3"/>
        </w:rPr>
        <w:t xml:space="preserve"> </w:t>
      </w:r>
      <w:r w:rsidRPr="00B63DB4">
        <w:rPr>
          <w:color w:val="231F20"/>
        </w:rPr>
        <w:t>30</w:t>
      </w:r>
      <w:r w:rsidRPr="00B63DB4">
        <w:rPr>
          <w:color w:val="231F20"/>
          <w:spacing w:val="-4"/>
        </w:rPr>
        <w:t xml:space="preserve"> </w:t>
      </w:r>
      <w:r w:rsidRPr="00B63DB4">
        <w:rPr>
          <w:color w:val="231F20"/>
        </w:rPr>
        <w:t>business</w:t>
      </w:r>
      <w:r w:rsidRPr="00B63DB4">
        <w:rPr>
          <w:color w:val="231F20"/>
          <w:spacing w:val="-4"/>
        </w:rPr>
        <w:t xml:space="preserve"> </w:t>
      </w:r>
      <w:r w:rsidRPr="00B63DB4">
        <w:rPr>
          <w:color w:val="231F20"/>
        </w:rPr>
        <w:t>days</w:t>
      </w:r>
      <w:r w:rsidRPr="00B63DB4">
        <w:rPr>
          <w:color w:val="231F20"/>
          <w:spacing w:val="-5"/>
        </w:rPr>
        <w:t xml:space="preserve"> </w:t>
      </w:r>
      <w:r w:rsidRPr="00B63DB4">
        <w:rPr>
          <w:color w:val="231F20"/>
        </w:rPr>
        <w:t>following</w:t>
      </w:r>
      <w:r w:rsidRPr="00B63DB4">
        <w:rPr>
          <w:color w:val="231F20"/>
          <w:spacing w:val="-3"/>
        </w:rPr>
        <w:t xml:space="preserve"> </w:t>
      </w:r>
      <w:r w:rsidRPr="00B63DB4">
        <w:rPr>
          <w:color w:val="231F20"/>
        </w:rPr>
        <w:t>the</w:t>
      </w:r>
      <w:r w:rsidRPr="00B63DB4">
        <w:rPr>
          <w:color w:val="231F20"/>
          <w:spacing w:val="-3"/>
        </w:rPr>
        <w:t xml:space="preserve"> </w:t>
      </w:r>
      <w:r w:rsidRPr="00B63DB4">
        <w:rPr>
          <w:color w:val="231F20"/>
          <w:spacing w:val="-2"/>
        </w:rPr>
        <w:t>webinar.</w:t>
      </w:r>
    </w:p>
    <w:p w14:paraId="6EA6EE26" w14:textId="77777777" w:rsidR="008D477F" w:rsidRPr="00B63DB4" w:rsidRDefault="008D477F">
      <w:pPr>
        <w:pStyle w:val="BodyText"/>
        <w:ind w:firstLine="0"/>
        <w:rPr>
          <w:sz w:val="22"/>
          <w:szCs w:val="22"/>
        </w:rPr>
      </w:pPr>
    </w:p>
    <w:p w14:paraId="150B27A3" w14:textId="77777777" w:rsidR="008D477F" w:rsidRPr="00B63DB4" w:rsidRDefault="008D477F">
      <w:pPr>
        <w:pStyle w:val="BodyText"/>
        <w:spacing w:before="28"/>
        <w:ind w:firstLine="0"/>
        <w:rPr>
          <w:sz w:val="22"/>
          <w:szCs w:val="22"/>
        </w:rPr>
      </w:pPr>
    </w:p>
    <w:p w14:paraId="67FC470B" w14:textId="77777777" w:rsidR="008D477F" w:rsidRPr="00B63DB4" w:rsidRDefault="00000000">
      <w:pPr>
        <w:pStyle w:val="Heading2"/>
        <w:rPr>
          <w:sz w:val="22"/>
          <w:szCs w:val="22"/>
        </w:rPr>
      </w:pPr>
      <w:r w:rsidRPr="00B63DB4">
        <w:rPr>
          <w:color w:val="231F20"/>
          <w:spacing w:val="-6"/>
          <w:sz w:val="22"/>
          <w:szCs w:val="22"/>
        </w:rPr>
        <w:t>SPTA</w:t>
      </w:r>
      <w:r w:rsidRPr="00B63DB4">
        <w:rPr>
          <w:color w:val="231F20"/>
          <w:spacing w:val="-8"/>
          <w:sz w:val="22"/>
          <w:szCs w:val="22"/>
        </w:rPr>
        <w:t xml:space="preserve"> </w:t>
      </w:r>
      <w:r w:rsidRPr="00B63DB4">
        <w:rPr>
          <w:color w:val="231F20"/>
          <w:spacing w:val="-2"/>
          <w:sz w:val="22"/>
          <w:szCs w:val="22"/>
        </w:rPr>
        <w:t>Responsibilities:</w:t>
      </w:r>
    </w:p>
    <w:p w14:paraId="543E5EFD" w14:textId="34998B35" w:rsidR="008D477F" w:rsidRPr="00B63DB4" w:rsidRDefault="00000000">
      <w:pPr>
        <w:pStyle w:val="ListParagraph"/>
        <w:numPr>
          <w:ilvl w:val="0"/>
          <w:numId w:val="1"/>
        </w:numPr>
        <w:tabs>
          <w:tab w:val="left" w:pos="300"/>
        </w:tabs>
        <w:spacing w:before="2" w:line="249" w:lineRule="auto"/>
        <w:ind w:right="615"/>
      </w:pPr>
      <w:r>
        <w:rPr>
          <w:color w:val="231F20"/>
        </w:rPr>
        <w:t xml:space="preserve">SPTA is responsible for reviewing and personalizing the marketing materials provided by AK-PA and creating its own registration page. An SPTA that is an APA-approved sponsor or is otherwise authorized under applicable state requirements to award continuing education credit will assume responsibility for its CE activities, administer program evaluations, and issue certificates for 3.0 CE credits to its eligible participants. An SPTA that will not issue its own certificates must arrange in writing with AK-PA before </w:t>
      </w:r>
      <w:r>
        <w:rPr>
          <w:color w:val="231F20"/>
        </w:rPr>
        <w:lastRenderedPageBreak/>
        <w:t>registration opens for AK-PA to provide certificates to eligible participants.</w:t>
      </w:r>
    </w:p>
    <w:p w14:paraId="77CF029F" w14:textId="785613CC" w:rsidR="008D477F" w:rsidRPr="00B63DB4" w:rsidRDefault="00000000">
      <w:pPr>
        <w:pStyle w:val="ListParagraph"/>
        <w:numPr>
          <w:ilvl w:val="0"/>
          <w:numId w:val="1"/>
        </w:numPr>
        <w:tabs>
          <w:tab w:val="left" w:pos="300"/>
        </w:tabs>
        <w:spacing w:before="181" w:line="249" w:lineRule="auto"/>
        <w:ind w:right="468"/>
      </w:pPr>
      <w:r>
        <w:rPr>
          <w:color w:val="231F20"/>
        </w:rPr>
        <w:t>If SPTA is authorized to offer homestudy continuing education, SPTA may host and administer the recorded program through October 16, 2028. SPTA will discontinue access no later than October 16, 2028, and will comply with all applicable post-test, evaluation, certificate, attendance-verification, and recordkeeping requirements. SPTA may not alter the recording or materials, sell them separately, or share them outside its registered participants without prior written permission from AK-PA and the Instructor.</w:t>
      </w:r>
    </w:p>
    <w:p w14:paraId="5BA4917C" w14:textId="181F965E" w:rsidR="008D477F" w:rsidRPr="00B63DB4" w:rsidRDefault="00000000">
      <w:pPr>
        <w:pStyle w:val="ListParagraph"/>
        <w:numPr>
          <w:ilvl w:val="0"/>
          <w:numId w:val="1"/>
        </w:numPr>
        <w:tabs>
          <w:tab w:val="left" w:pos="300"/>
        </w:tabs>
        <w:spacing w:line="249" w:lineRule="auto"/>
        <w:ind w:right="526"/>
      </w:pPr>
      <w:r>
        <w:rPr>
          <w:color w:val="231F20"/>
          <w:spacing w:val="-2"/>
        </w:rPr>
        <w:t>If a Zoom Webinar upgrade is required, SPTA agrees to pay its pro rata share of the actual upgrade fee. SPTA’s share will equal the total upgrade fee multiplied by the percentage of final registrants attributable to SPTA, with AK-PA’s registrants included in the total registration count.</w:t>
      </w:r>
    </w:p>
    <w:p w14:paraId="536E2853" w14:textId="77777777" w:rsidR="008D477F" w:rsidRPr="00B63DB4" w:rsidRDefault="008D477F">
      <w:pPr>
        <w:pStyle w:val="BodyText"/>
        <w:ind w:firstLine="0"/>
        <w:rPr>
          <w:sz w:val="22"/>
          <w:szCs w:val="22"/>
        </w:rPr>
      </w:pPr>
    </w:p>
    <w:p w14:paraId="440DCFAB" w14:textId="71EEE281" w:rsidR="008D477F" w:rsidRPr="00B63DB4" w:rsidRDefault="00000000">
      <w:pPr>
        <w:pStyle w:val="ListParagraph"/>
        <w:numPr>
          <w:ilvl w:val="0"/>
          <w:numId w:val="1"/>
        </w:numPr>
        <w:tabs>
          <w:tab w:val="left" w:pos="300"/>
        </w:tabs>
        <w:spacing w:before="1"/>
      </w:pPr>
      <w:r>
        <w:rPr>
          <w:color w:val="231F20"/>
        </w:rPr>
        <w:t>SPTA agrees to pay AK-PA an administrative fee of $1.50 for each of its registered participants who logs on to the live webinar, as documented by the Zoom attendance report.</w:t>
      </w:r>
    </w:p>
    <w:p w14:paraId="60E4B2F4" w14:textId="07FB1FBC" w:rsidR="008D477F" w:rsidRPr="00B63DB4" w:rsidRDefault="00000000">
      <w:pPr>
        <w:pStyle w:val="ListParagraph"/>
        <w:numPr>
          <w:ilvl w:val="0"/>
          <w:numId w:val="1"/>
        </w:numPr>
        <w:tabs>
          <w:tab w:val="left" w:pos="300"/>
        </w:tabs>
        <w:spacing w:before="190" w:line="249" w:lineRule="auto"/>
        <w:ind w:right="398" w:hanging="301"/>
      </w:pPr>
      <w:r>
        <w:rPr>
          <w:color w:val="231F20"/>
        </w:rPr>
        <w:t>SPTA will provide AK-PA with its registration count on September 28 and October 5, 2026, and a complete list of registrant names and email addresses before the webinar begins on Friday, October 16, 2026. AK-PA will use this information as described in AK-PA Responsibility 4(b).</w:t>
      </w:r>
    </w:p>
    <w:p w14:paraId="40B220B1" w14:textId="7AE91B23" w:rsidR="008D477F" w:rsidRPr="00B63DB4" w:rsidRDefault="00000000">
      <w:pPr>
        <w:pStyle w:val="ListParagraph"/>
        <w:numPr>
          <w:ilvl w:val="0"/>
          <w:numId w:val="1"/>
        </w:numPr>
        <w:tabs>
          <w:tab w:val="left" w:pos="300"/>
        </w:tabs>
        <w:spacing w:before="181"/>
      </w:pPr>
      <w:r>
        <w:rPr>
          <w:color w:val="231F20"/>
        </w:rPr>
        <w:t>SPTA agrees to pay AK-PA’s invoice within 30 calendar days after receipt.</w:t>
      </w:r>
    </w:p>
    <w:p w14:paraId="0C9D0F47" w14:textId="0B02DADC" w:rsidR="008D477F" w:rsidRPr="00B63DB4" w:rsidRDefault="008D477F">
      <w:pPr>
        <w:pStyle w:val="BodyText"/>
        <w:spacing w:before="10"/>
        <w:ind w:firstLine="0"/>
        <w:rPr>
          <w:sz w:val="22"/>
          <w:szCs w:val="22"/>
        </w:rPr>
      </w:pPr>
    </w:p>
    <w:p w14:paraId="005FDCA1" w14:textId="67D636B6" w:rsidR="008D477F" w:rsidRPr="00B63DB4" w:rsidRDefault="008D477F" w:rsidP="00093153">
      <w:pPr>
        <w:pStyle w:val="Heading3"/>
        <w:tabs>
          <w:tab w:val="left" w:pos="3600"/>
          <w:tab w:val="left" w:pos="10812"/>
        </w:tabs>
        <w:rPr>
          <w:sz w:val="22"/>
          <w:szCs w:val="22"/>
          <w:u w:val="none"/>
        </w:rPr>
      </w:pPr>
    </w:p>
    <w:p w14:paraId="67DCCA1A" w14:textId="13A9FB38" w:rsidR="00B63DB4" w:rsidRDefault="00000000" w:rsidP="00B63DB4">
      <w:pPr>
        <w:pStyle w:val="BodyText"/>
        <w:tabs>
          <w:tab w:val="left" w:pos="5759"/>
        </w:tabs>
        <w:spacing w:before="26"/>
        <w:ind w:left="270" w:firstLine="0"/>
        <w:rPr>
          <w:color w:val="231F20"/>
          <w:sz w:val="22"/>
          <w:szCs w:val="22"/>
        </w:rPr>
      </w:pPr>
      <w:r w:rsidRPr="00B63DB4">
        <w:rPr>
          <w:color w:val="231F20"/>
          <w:sz w:val="22"/>
          <w:szCs w:val="22"/>
        </w:rPr>
        <w:t xml:space="preserve">Primary Contact Name and </w:t>
      </w:r>
      <w:r w:rsidRPr="00B63DB4">
        <w:rPr>
          <w:color w:val="231F20"/>
          <w:spacing w:val="-2"/>
          <w:sz w:val="22"/>
          <w:szCs w:val="22"/>
        </w:rPr>
        <w:t>Email</w:t>
      </w:r>
      <w:r w:rsidR="00B63DB4">
        <w:rPr>
          <w:color w:val="231F20"/>
          <w:sz w:val="22"/>
          <w:szCs w:val="22"/>
        </w:rPr>
        <w:t>:</w:t>
      </w:r>
    </w:p>
    <w:p w14:paraId="30B0376F" w14:textId="77777777" w:rsidR="00B63DB4" w:rsidRDefault="00B63DB4" w:rsidP="00B63DB4">
      <w:pPr>
        <w:pStyle w:val="BodyText"/>
        <w:tabs>
          <w:tab w:val="left" w:pos="5759"/>
        </w:tabs>
        <w:spacing w:before="26"/>
        <w:ind w:left="270" w:firstLine="0"/>
        <w:rPr>
          <w:color w:val="231F20"/>
          <w:sz w:val="22"/>
          <w:szCs w:val="22"/>
        </w:rPr>
      </w:pPr>
    </w:p>
    <w:p w14:paraId="789FCB0D" w14:textId="7B174518" w:rsidR="008D477F" w:rsidRDefault="00000000" w:rsidP="00B63DB4">
      <w:pPr>
        <w:pStyle w:val="BodyText"/>
        <w:tabs>
          <w:tab w:val="left" w:pos="5759"/>
        </w:tabs>
        <w:spacing w:before="26"/>
        <w:ind w:left="270" w:firstLine="0"/>
        <w:rPr>
          <w:color w:val="231F20"/>
          <w:spacing w:val="-2"/>
          <w:sz w:val="22"/>
          <w:szCs w:val="22"/>
        </w:rPr>
      </w:pPr>
      <w:r w:rsidRPr="00B63DB4">
        <w:rPr>
          <w:color w:val="231F20"/>
          <w:sz w:val="22"/>
          <w:szCs w:val="22"/>
        </w:rPr>
        <w:t>Registration</w:t>
      </w:r>
      <w:r w:rsidRPr="00B63DB4">
        <w:rPr>
          <w:color w:val="231F20"/>
          <w:spacing w:val="-1"/>
          <w:sz w:val="22"/>
          <w:szCs w:val="22"/>
        </w:rPr>
        <w:t xml:space="preserve"> </w:t>
      </w:r>
      <w:r w:rsidRPr="00B63DB4">
        <w:rPr>
          <w:color w:val="231F20"/>
          <w:sz w:val="22"/>
          <w:szCs w:val="22"/>
        </w:rPr>
        <w:t>Contact</w:t>
      </w:r>
      <w:r w:rsidRPr="00B63DB4">
        <w:rPr>
          <w:color w:val="231F20"/>
          <w:spacing w:val="-1"/>
          <w:sz w:val="22"/>
          <w:szCs w:val="22"/>
        </w:rPr>
        <w:t xml:space="preserve"> </w:t>
      </w:r>
      <w:r w:rsidRPr="00B63DB4">
        <w:rPr>
          <w:color w:val="231F20"/>
          <w:sz w:val="22"/>
          <w:szCs w:val="22"/>
        </w:rPr>
        <w:t>Name and</w:t>
      </w:r>
      <w:r w:rsidRPr="00B63DB4">
        <w:rPr>
          <w:color w:val="231F20"/>
          <w:spacing w:val="-1"/>
          <w:sz w:val="22"/>
          <w:szCs w:val="22"/>
        </w:rPr>
        <w:t xml:space="preserve"> </w:t>
      </w:r>
      <w:r w:rsidRPr="00B63DB4">
        <w:rPr>
          <w:color w:val="231F20"/>
          <w:sz w:val="22"/>
          <w:szCs w:val="22"/>
        </w:rPr>
        <w:t>Email</w:t>
      </w:r>
      <w:r w:rsidRPr="00B63DB4">
        <w:rPr>
          <w:color w:val="231F20"/>
          <w:spacing w:val="-1"/>
          <w:sz w:val="22"/>
          <w:szCs w:val="22"/>
        </w:rPr>
        <w:t xml:space="preserve"> </w:t>
      </w:r>
      <w:r w:rsidRPr="00B63DB4">
        <w:rPr>
          <w:color w:val="231F20"/>
          <w:sz w:val="22"/>
          <w:szCs w:val="22"/>
        </w:rPr>
        <w:t>if different</w:t>
      </w:r>
      <w:r w:rsidRPr="00B63DB4">
        <w:rPr>
          <w:color w:val="231F20"/>
          <w:spacing w:val="-1"/>
          <w:sz w:val="22"/>
          <w:szCs w:val="22"/>
        </w:rPr>
        <w:t xml:space="preserve"> </w:t>
      </w:r>
      <w:r w:rsidRPr="00B63DB4">
        <w:rPr>
          <w:color w:val="231F20"/>
          <w:sz w:val="22"/>
          <w:szCs w:val="22"/>
        </w:rPr>
        <w:t xml:space="preserve">than </w:t>
      </w:r>
      <w:r w:rsidRPr="00B63DB4">
        <w:rPr>
          <w:color w:val="231F20"/>
          <w:spacing w:val="-2"/>
          <w:sz w:val="22"/>
          <w:szCs w:val="22"/>
        </w:rPr>
        <w:t>primary</w:t>
      </w:r>
      <w:r w:rsidR="00B63DB4">
        <w:rPr>
          <w:color w:val="231F20"/>
          <w:spacing w:val="-2"/>
          <w:sz w:val="22"/>
          <w:szCs w:val="22"/>
        </w:rPr>
        <w:t>:</w:t>
      </w:r>
    </w:p>
    <w:p w14:paraId="32BEAE59" w14:textId="77777777" w:rsidR="00B63DB4" w:rsidRDefault="00B63DB4">
      <w:pPr>
        <w:pStyle w:val="BodyText"/>
        <w:tabs>
          <w:tab w:val="left" w:pos="5759"/>
        </w:tabs>
        <w:spacing w:before="26"/>
        <w:ind w:firstLine="0"/>
        <w:rPr>
          <w:color w:val="231F20"/>
          <w:spacing w:val="-2"/>
          <w:sz w:val="22"/>
          <w:szCs w:val="22"/>
        </w:rPr>
      </w:pPr>
    </w:p>
    <w:p w14:paraId="253DA544" w14:textId="47261501" w:rsidR="008D477F" w:rsidRPr="00B63DB4" w:rsidRDefault="008D477F">
      <w:pPr>
        <w:pStyle w:val="BodyText"/>
        <w:ind w:firstLine="0"/>
        <w:rPr>
          <w:sz w:val="22"/>
          <w:szCs w:val="22"/>
        </w:rPr>
      </w:pPr>
    </w:p>
    <w:p w14:paraId="48F9E703" w14:textId="77777777" w:rsidR="008D477F" w:rsidRPr="00B63DB4" w:rsidRDefault="008D477F">
      <w:pPr>
        <w:pStyle w:val="BodyText"/>
        <w:spacing w:before="166"/>
        <w:ind w:firstLine="0"/>
        <w:rPr>
          <w:sz w:val="22"/>
          <w:szCs w:val="22"/>
        </w:rPr>
      </w:pPr>
    </w:p>
    <w:p w14:paraId="3620389B" w14:textId="55F94301" w:rsidR="008D477F" w:rsidRPr="00B63DB4" w:rsidRDefault="008C4B68">
      <w:pPr>
        <w:pStyle w:val="Heading3"/>
        <w:tabs>
          <w:tab w:val="left" w:pos="7859"/>
        </w:tabs>
        <w:spacing w:before="1"/>
        <w:ind w:left="5760"/>
        <w:rPr>
          <w:sz w:val="22"/>
          <w:szCs w:val="22"/>
          <w:u w:val="none"/>
        </w:rPr>
      </w:pPr>
      <w:r w:rsidRPr="00B63DB4">
        <w:rPr>
          <w:noProof/>
          <w:sz w:val="22"/>
          <w:szCs w:val="22"/>
          <w:u w:color="231F20"/>
        </w:rPr>
        <mc:AlternateContent>
          <mc:Choice Requires="wps">
            <w:drawing>
              <wp:anchor distT="0" distB="0" distL="114300" distR="114300" simplePos="0" relativeHeight="15726080" behindDoc="0" locked="0" layoutInCell="1" allowOverlap="1" wp14:anchorId="033EF106" wp14:editId="02874B40">
                <wp:simplePos x="0" y="0"/>
                <wp:positionH relativeFrom="column">
                  <wp:posOffset>97436</wp:posOffset>
                </wp:positionH>
                <wp:positionV relativeFrom="paragraph">
                  <wp:posOffset>182573</wp:posOffset>
                </wp:positionV>
                <wp:extent cx="2959100" cy="1269"/>
                <wp:effectExtent l="0" t="0" r="12700" b="12065"/>
                <wp:wrapNone/>
                <wp:docPr id="1654189877" name="Graphic 3"/>
                <wp:cNvGraphicFramePr/>
                <a:graphic xmlns:a="http://schemas.openxmlformats.org/drawingml/2006/main">
                  <a:graphicData uri="http://schemas.microsoft.com/office/word/2010/wordprocessingShape">
                    <wps:wsp>
                      <wps:cNvSpPr/>
                      <wps:spPr>
                        <a:xfrm>
                          <a:off x="0" y="0"/>
                          <a:ext cx="2959100" cy="1269"/>
                        </a:xfrm>
                        <a:custGeom>
                          <a:avLst/>
                          <a:gdLst/>
                          <a:ahLst/>
                          <a:cxnLst/>
                          <a:rect l="l" t="t" r="r" b="b"/>
                          <a:pathLst>
                            <a:path w="2959100">
                              <a:moveTo>
                                <a:pt x="0" y="0"/>
                              </a:moveTo>
                              <a:lnTo>
                                <a:pt x="2959100" y="0"/>
                              </a:lnTo>
                            </a:path>
                          </a:pathLst>
                        </a:custGeom>
                        <a:ln w="6197">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108BA114" id="Graphic 3" o:spid="_x0000_s1026" style="position:absolute;margin-left:7.65pt;margin-top:14.4pt;width:233pt;height:.1pt;z-index:15726080;visibility:visible;mso-wrap-style:square;mso-wrap-distance-left:9pt;mso-wrap-distance-top:0;mso-wrap-distance-right:9pt;mso-wrap-distance-bottom:0;mso-position-horizontal:absolute;mso-position-horizontal-relative:text;mso-position-vertical:absolute;mso-position-vertical-relative:text;v-text-anchor:top" coordsize="2959100,126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" path="m,l2959100,e" filled="f" strokecolor="#231f20" strokeweight=".17214mm">
                <v:path arrowok="t"/>
              </v:shape>
            </w:pict>
          </mc:Fallback>
        </mc:AlternateContent>
      </w:r>
      <w:r w:rsidRPr="00B63DB4">
        <w:rPr>
          <w:sz w:val="22"/>
          <w:szCs w:val="22"/>
          <w:u w:color="231F20"/>
        </w:rPr>
        <w:tab/>
      </w:r>
    </w:p>
    <w:p w14:paraId="0D2855F9" w14:textId="3B2DF832" w:rsidR="008D477F" w:rsidRPr="00B63DB4" w:rsidRDefault="008C4B68">
      <w:pPr>
        <w:pStyle w:val="BodyText"/>
        <w:spacing w:before="23"/>
        <w:ind w:left="5760" w:firstLine="0"/>
        <w:rPr>
          <w:sz w:val="22"/>
          <w:szCs w:val="22"/>
        </w:rPr>
      </w:pPr>
      <w:r w:rsidRPr="00B63DB4">
        <w:rPr>
          <w:noProof/>
          <w:color w:val="231F20"/>
          <w:spacing w:val="-4"/>
          <w:sz w:val="22"/>
          <w:szCs w:val="22"/>
        </w:rPr>
        <mc:AlternateContent>
          <mc:Choice Requires="wps">
            <w:drawing>
              <wp:anchor distT="0" distB="0" distL="114300" distR="114300" simplePos="0" relativeHeight="15729152" behindDoc="0" locked="0" layoutInCell="1" allowOverlap="1" wp14:anchorId="6D976C08" wp14:editId="31A8640C">
                <wp:simplePos x="0" y="0"/>
                <wp:positionH relativeFrom="column">
                  <wp:posOffset>97436</wp:posOffset>
                </wp:positionH>
                <wp:positionV relativeFrom="paragraph">
                  <wp:posOffset>24441</wp:posOffset>
                </wp:positionV>
                <wp:extent cx="1749425" cy="140878"/>
                <wp:effectExtent l="0" t="0" r="0" b="0"/>
                <wp:wrapNone/>
                <wp:docPr id="649184463" name="Textbox 6"/>
                <wp:cNvGraphicFramePr/>
                <a:graphic xmlns:a="http://schemas.openxmlformats.org/drawingml/2006/main">
                  <a:graphicData uri="http://schemas.microsoft.com/office/word/2010/wordprocessingShape">
                    <wps:wsp>
                      <wps:cNvSpPr txBox="1"/>
                      <wps:spPr>
                        <a:xfrm>
                          <a:off x="0" y="0"/>
                          <a:ext cx="1749425" cy="140878"/>
                        </a:xfrm>
                        <a:prstGeom prst="rect">
                          <a:avLst/>
                        </a:prstGeom>
                      </wps:spPr>
                      <wps:txbx>
                        <w:txbxContent>
                          <w:p w14:paraId="55D2E0EE" w14:textId="77777777" w:rsidR="008D477F" w:rsidRDefault="00000000">
                            <w:pPr>
                              <w:spacing w:line="221" w:lineRule="exact"/>
                              <w:rPr>
                                <w:sz w:val="20"/>
                              </w:rPr>
                            </w:pPr>
                            <w:r>
                              <w:rPr>
                                <w:color w:val="231F20"/>
                                <w:sz w:val="20"/>
                              </w:rPr>
                              <w:t>Signature</w:t>
                            </w:r>
                            <w:r>
                              <w:rPr>
                                <w:color w:val="231F20"/>
                                <w:spacing w:val="-11"/>
                                <w:sz w:val="20"/>
                              </w:rPr>
                              <w:t xml:space="preserve"> </w:t>
                            </w:r>
                            <w:r>
                              <w:rPr>
                                <w:color w:val="231F20"/>
                                <w:sz w:val="20"/>
                              </w:rPr>
                              <w:t>of</w:t>
                            </w:r>
                            <w:r>
                              <w:rPr>
                                <w:color w:val="231F20"/>
                                <w:spacing w:val="-6"/>
                                <w:sz w:val="20"/>
                              </w:rPr>
                              <w:t xml:space="preserve"> </w:t>
                            </w:r>
                            <w:r>
                              <w:rPr>
                                <w:color w:val="231F20"/>
                                <w:sz w:val="20"/>
                              </w:rPr>
                              <w:t>SPTA</w:t>
                            </w:r>
                            <w:r>
                              <w:rPr>
                                <w:color w:val="231F20"/>
                                <w:spacing w:val="-12"/>
                                <w:sz w:val="20"/>
                              </w:rPr>
                              <w:t xml:space="preserve"> </w:t>
                            </w:r>
                            <w:r>
                              <w:rPr>
                                <w:color w:val="231F20"/>
                                <w:spacing w:val="-2"/>
                                <w:sz w:val="20"/>
                              </w:rPr>
                              <w:t>Representative</w:t>
                            </w:r>
                          </w:p>
                        </w:txbxContent>
                      </wps:txbx>
                      <wps:bodyPr wrap="square" lIns="0" tIns="0" rIns="0" bIns="0" rtlCol="0">
                        <a:noAutofit/>
                      </wps:bodyPr>
                    </wps:wsp>
                  </a:graphicData>
                </a:graphic>
              </wp:anchor>
            </w:drawing>
          </mc:Choice>
          <mc:Fallback>
            <w:pict>
              <v:shapetype w14:anchorId="6D976C08" id="_x0000_t202" coordsize="21600,21600" o:spt="202" path="m,l,21600r21600,l21600,xe">
                <v:stroke joinstyle="miter"/>
                <v:path gradientshapeok="t" o:connecttype="rect"/>
              </v:shapetype>
              <v:shape id="Textbox 6" o:spid="_x0000_s1026" type="#_x0000_t202" style="position:absolute;left:0;text-align:left;margin-left:7.65pt;margin-top:1.9pt;width:137.75pt;height:11.1pt;z-index:15729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" filled="f" stroked="f">
                <v:textbox inset="0,0,0,0">
                  <w:txbxContent>
                    <w:p w14:paraId="55D2E0EE" w14:textId="77777777" w:rsidR="008D477F" w:rsidRDefault="00000000">
                      <w:pPr>
                        <w:spacing w:line="221" w:lineRule="exact"/>
                        <w:rPr>
                          <w:sz w:val="20"/>
                        </w:rPr>
                      </w:pPr>
                      <w:r>
                        <w:rPr>
                          <w:color w:val="231F20"/>
                          <w:sz w:val="20"/>
                        </w:rPr>
                        <w:t>Signature</w:t>
                      </w:r>
                      <w:r>
                        <w:rPr>
                          <w:color w:val="231F20"/>
                          <w:spacing w:val="-11"/>
                          <w:sz w:val="20"/>
                        </w:rPr>
                        <w:t xml:space="preserve"> </w:t>
                      </w:r>
                      <w:r>
                        <w:rPr>
                          <w:color w:val="231F20"/>
                          <w:sz w:val="20"/>
                        </w:rPr>
                        <w:t>of</w:t>
                      </w:r>
                      <w:r>
                        <w:rPr>
                          <w:color w:val="231F20"/>
                          <w:spacing w:val="-6"/>
                          <w:sz w:val="20"/>
                        </w:rPr>
                        <w:t xml:space="preserve"> </w:t>
                      </w:r>
                      <w:r>
                        <w:rPr>
                          <w:color w:val="231F20"/>
                          <w:sz w:val="20"/>
                        </w:rPr>
                        <w:t>SPTA</w:t>
                      </w:r>
                      <w:r>
                        <w:rPr>
                          <w:color w:val="231F20"/>
                          <w:spacing w:val="-12"/>
                          <w:sz w:val="20"/>
                        </w:rPr>
                        <w:t xml:space="preserve"> </w:t>
                      </w:r>
                      <w:r>
                        <w:rPr>
                          <w:color w:val="231F20"/>
                          <w:spacing w:val="-2"/>
                          <w:sz w:val="20"/>
                        </w:rPr>
                        <w:t>Representative</w:t>
                      </w:r>
                    </w:p>
                  </w:txbxContent>
                </v:textbox>
              </v:shape>
            </w:pict>
          </mc:Fallback>
        </mc:AlternateContent>
      </w:r>
      <w:r w:rsidRPr="00B63DB4">
        <w:rPr>
          <w:color w:val="231F20"/>
          <w:spacing w:val="-4"/>
          <w:sz w:val="22"/>
          <w:szCs w:val="22"/>
        </w:rPr>
        <w:t>Date</w:t>
      </w:r>
    </w:p>
    <w:sectPr w:rsidR="008D477F" w:rsidRPr="00B63DB4" w:rsidSect="008609D1">
      <w:type w:val="continuous"/>
      <w:pgSz w:w="12240" w:h="15840"/>
      <w:pgMar w:top="1296" w:right="1008" w:bottom="806" w:left="10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B3D4CCE"/>
    <w:multiLevelType w:val="hybridMultilevel"/>
    <w:tmpl w:val="66C27C14"/>
    <w:lvl w:ilvl="0" w:tplc="68142A96">
      <w:start w:val="1"/>
      <w:numFmt w:val="decimal"/>
      <w:lvlText w:val="%1."/>
      <w:lvlJc w:val="left"/>
      <w:pPr>
        <w:ind w:left="300" w:hanging="300"/>
        <w:jc w:val="left"/>
      </w:pPr>
      <w:rPr>
        <w:rFonts w:ascii="Times New Roman" w:eastAsia="Times New Roman" w:hAnsi="Times New Roman" w:cs="Times New Roman" w:hint="default"/>
        <w:b w:val="0"/>
        <w:bCs w:val="0"/>
        <w:i w:val="0"/>
        <w:iCs w:val="0"/>
        <w:color w:val="231F20"/>
        <w:spacing w:val="0"/>
        <w:w w:val="100"/>
        <w:sz w:val="20"/>
        <w:szCs w:val="20"/>
        <w:lang w:val="en-US" w:eastAsia="en-US" w:bidi="ar-SA"/>
      </w:rPr>
    </w:lvl>
    <w:lvl w:ilvl="1" w:tplc="42485146">
      <w:numFmt w:val="bullet"/>
      <w:lvlText w:val="•"/>
      <w:lvlJc w:val="left"/>
      <w:pPr>
        <w:ind w:left="1386" w:hanging="300"/>
      </w:pPr>
      <w:rPr>
        <w:rFonts w:hint="default"/>
        <w:lang w:val="en-US" w:eastAsia="en-US" w:bidi="ar-SA"/>
      </w:rPr>
    </w:lvl>
    <w:lvl w:ilvl="2" w:tplc="6D7CA6F4">
      <w:numFmt w:val="bullet"/>
      <w:lvlText w:val="•"/>
      <w:lvlJc w:val="left"/>
      <w:pPr>
        <w:ind w:left="2472" w:hanging="300"/>
      </w:pPr>
      <w:rPr>
        <w:rFonts w:hint="default"/>
        <w:lang w:val="en-US" w:eastAsia="en-US" w:bidi="ar-SA"/>
      </w:rPr>
    </w:lvl>
    <w:lvl w:ilvl="3" w:tplc="78F02506">
      <w:numFmt w:val="bullet"/>
      <w:lvlText w:val="•"/>
      <w:lvlJc w:val="left"/>
      <w:pPr>
        <w:ind w:left="3558" w:hanging="300"/>
      </w:pPr>
      <w:rPr>
        <w:rFonts w:hint="default"/>
        <w:lang w:val="en-US" w:eastAsia="en-US" w:bidi="ar-SA"/>
      </w:rPr>
    </w:lvl>
    <w:lvl w:ilvl="4" w:tplc="B8F4E474">
      <w:numFmt w:val="bullet"/>
      <w:lvlText w:val="•"/>
      <w:lvlJc w:val="left"/>
      <w:pPr>
        <w:ind w:left="4644" w:hanging="300"/>
      </w:pPr>
      <w:rPr>
        <w:rFonts w:hint="default"/>
        <w:lang w:val="en-US" w:eastAsia="en-US" w:bidi="ar-SA"/>
      </w:rPr>
    </w:lvl>
    <w:lvl w:ilvl="5" w:tplc="DDD6FA6A">
      <w:numFmt w:val="bullet"/>
      <w:lvlText w:val="•"/>
      <w:lvlJc w:val="left"/>
      <w:pPr>
        <w:ind w:left="5730" w:hanging="300"/>
      </w:pPr>
      <w:rPr>
        <w:rFonts w:hint="default"/>
        <w:lang w:val="en-US" w:eastAsia="en-US" w:bidi="ar-SA"/>
      </w:rPr>
    </w:lvl>
    <w:lvl w:ilvl="6" w:tplc="721C2D96">
      <w:numFmt w:val="bullet"/>
      <w:lvlText w:val="•"/>
      <w:lvlJc w:val="left"/>
      <w:pPr>
        <w:ind w:left="6816" w:hanging="300"/>
      </w:pPr>
      <w:rPr>
        <w:rFonts w:hint="default"/>
        <w:lang w:val="en-US" w:eastAsia="en-US" w:bidi="ar-SA"/>
      </w:rPr>
    </w:lvl>
    <w:lvl w:ilvl="7" w:tplc="27FE9766">
      <w:numFmt w:val="bullet"/>
      <w:lvlText w:val="•"/>
      <w:lvlJc w:val="left"/>
      <w:pPr>
        <w:ind w:left="7902" w:hanging="300"/>
      </w:pPr>
      <w:rPr>
        <w:rFonts w:hint="default"/>
        <w:lang w:val="en-US" w:eastAsia="en-US" w:bidi="ar-SA"/>
      </w:rPr>
    </w:lvl>
    <w:lvl w:ilvl="8" w:tplc="CFE2AA92">
      <w:numFmt w:val="bullet"/>
      <w:lvlText w:val="•"/>
      <w:lvlJc w:val="left"/>
      <w:pPr>
        <w:ind w:left="8988" w:hanging="300"/>
      </w:pPr>
      <w:rPr>
        <w:rFonts w:hint="default"/>
        <w:lang w:val="en-US" w:eastAsia="en-US" w:bidi="ar-SA"/>
      </w:rPr>
    </w:lvl>
  </w:abstractNum>
  <w:abstractNum w:abstractNumId="1" w15:restartNumberingAfterBreak="0">
    <w:nsid w:val="6CB06F9B"/>
    <w:multiLevelType w:val="hybridMultilevel"/>
    <w:tmpl w:val="DA44E120"/>
    <w:lvl w:ilvl="0" w:tplc="3A7273DE">
      <w:start w:val="1"/>
      <w:numFmt w:val="decimal"/>
      <w:lvlText w:val="%1."/>
      <w:lvlJc w:val="left"/>
      <w:pPr>
        <w:ind w:left="300" w:hanging="300"/>
        <w:jc w:val="left"/>
      </w:pPr>
      <w:rPr>
        <w:rFonts w:ascii="Times New Roman" w:eastAsia="Times New Roman" w:hAnsi="Times New Roman" w:cs="Times New Roman" w:hint="default"/>
        <w:b w:val="0"/>
        <w:bCs w:val="0"/>
        <w:i w:val="0"/>
        <w:iCs w:val="0"/>
        <w:color w:val="231F20"/>
        <w:spacing w:val="0"/>
        <w:w w:val="100"/>
        <w:sz w:val="20"/>
        <w:szCs w:val="20"/>
        <w:lang w:val="en-US" w:eastAsia="en-US" w:bidi="ar-SA"/>
      </w:rPr>
    </w:lvl>
    <w:lvl w:ilvl="1" w:tplc="7B2A9026">
      <w:start w:val="1"/>
      <w:numFmt w:val="lowerLetter"/>
      <w:lvlText w:val="%2."/>
      <w:lvlJc w:val="left"/>
      <w:pPr>
        <w:ind w:left="640" w:hanging="300"/>
        <w:jc w:val="left"/>
      </w:pPr>
      <w:rPr>
        <w:rFonts w:ascii="Times New Roman" w:eastAsia="Times New Roman" w:hAnsi="Times New Roman" w:cs="Times New Roman" w:hint="default"/>
        <w:b w:val="0"/>
        <w:bCs w:val="0"/>
        <w:i w:val="0"/>
        <w:iCs w:val="0"/>
        <w:color w:val="231F20"/>
        <w:spacing w:val="0"/>
        <w:w w:val="100"/>
        <w:sz w:val="20"/>
        <w:szCs w:val="20"/>
        <w:lang w:val="en-US" w:eastAsia="en-US" w:bidi="ar-SA"/>
      </w:rPr>
    </w:lvl>
    <w:lvl w:ilvl="2" w:tplc="70F00F42">
      <w:numFmt w:val="bullet"/>
      <w:lvlText w:val="•"/>
      <w:lvlJc w:val="left"/>
      <w:pPr>
        <w:ind w:left="1808" w:hanging="300"/>
      </w:pPr>
      <w:rPr>
        <w:rFonts w:hint="default"/>
        <w:lang w:val="en-US" w:eastAsia="en-US" w:bidi="ar-SA"/>
      </w:rPr>
    </w:lvl>
    <w:lvl w:ilvl="3" w:tplc="9496E5F6">
      <w:numFmt w:val="bullet"/>
      <w:lvlText w:val="•"/>
      <w:lvlJc w:val="left"/>
      <w:pPr>
        <w:ind w:left="2977" w:hanging="300"/>
      </w:pPr>
      <w:rPr>
        <w:rFonts w:hint="default"/>
        <w:lang w:val="en-US" w:eastAsia="en-US" w:bidi="ar-SA"/>
      </w:rPr>
    </w:lvl>
    <w:lvl w:ilvl="4" w:tplc="B8007558">
      <w:numFmt w:val="bullet"/>
      <w:lvlText w:val="•"/>
      <w:lvlJc w:val="left"/>
      <w:pPr>
        <w:ind w:left="4146" w:hanging="300"/>
      </w:pPr>
      <w:rPr>
        <w:rFonts w:hint="default"/>
        <w:lang w:val="en-US" w:eastAsia="en-US" w:bidi="ar-SA"/>
      </w:rPr>
    </w:lvl>
    <w:lvl w:ilvl="5" w:tplc="3F087A7E">
      <w:numFmt w:val="bullet"/>
      <w:lvlText w:val="•"/>
      <w:lvlJc w:val="left"/>
      <w:pPr>
        <w:ind w:left="5315" w:hanging="300"/>
      </w:pPr>
      <w:rPr>
        <w:rFonts w:hint="default"/>
        <w:lang w:val="en-US" w:eastAsia="en-US" w:bidi="ar-SA"/>
      </w:rPr>
    </w:lvl>
    <w:lvl w:ilvl="6" w:tplc="C6C2B16A">
      <w:numFmt w:val="bullet"/>
      <w:lvlText w:val="•"/>
      <w:lvlJc w:val="left"/>
      <w:pPr>
        <w:ind w:left="6484" w:hanging="300"/>
      </w:pPr>
      <w:rPr>
        <w:rFonts w:hint="default"/>
        <w:lang w:val="en-US" w:eastAsia="en-US" w:bidi="ar-SA"/>
      </w:rPr>
    </w:lvl>
    <w:lvl w:ilvl="7" w:tplc="A810E0CA">
      <w:numFmt w:val="bullet"/>
      <w:lvlText w:val="•"/>
      <w:lvlJc w:val="left"/>
      <w:pPr>
        <w:ind w:left="7653" w:hanging="300"/>
      </w:pPr>
      <w:rPr>
        <w:rFonts w:hint="default"/>
        <w:lang w:val="en-US" w:eastAsia="en-US" w:bidi="ar-SA"/>
      </w:rPr>
    </w:lvl>
    <w:lvl w:ilvl="8" w:tplc="2C3450BA">
      <w:numFmt w:val="bullet"/>
      <w:lvlText w:val="•"/>
      <w:lvlJc w:val="left"/>
      <w:pPr>
        <w:ind w:left="8822" w:hanging="300"/>
      </w:pPr>
      <w:rPr>
        <w:rFonts w:hint="default"/>
        <w:lang w:val="en-US" w:eastAsia="en-US" w:bidi="ar-SA"/>
      </w:rPr>
    </w:lvl>
  </w:abstractNum>
  <w:num w:numId="1" w16cid:durableId="1430470112">
    <w:abstractNumId w:val="0"/>
  </w:num>
  <w:num w:numId="2" w16cid:durableId="63583496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77F"/>
    <w:rsid w:val="00093153"/>
    <w:rsid w:val="00243CBD"/>
    <w:rsid w:val="00404218"/>
    <w:rsid w:val="006A0A97"/>
    <w:rsid w:val="008609D1"/>
    <w:rsid w:val="008C4B68"/>
    <w:rsid w:val="008D477F"/>
    <w:rsid w:val="00997CF9"/>
    <w:rsid w:val="00AA473A"/>
    <w:rsid w:val="00B04174"/>
    <w:rsid w:val="00B3255D"/>
    <w:rsid w:val="00B63DB4"/>
    <w:rsid w:val="00C24130"/>
    <w:rsid w:val="00C431F5"/>
    <w:rsid w:val="00CC7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34756"/>
  <w15:docId w15:val="{72258328-82EF-5F46-B57B-9F733C180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ind w:left="3304"/>
      <w:outlineLvl w:val="0"/>
    </w:pPr>
    <w:rPr>
      <w:b/>
      <w:bCs/>
      <w:sz w:val="28"/>
      <w:szCs w:val="28"/>
    </w:rPr>
  </w:style>
  <w:style w:type="paragraph" w:styleId="Heading2">
    <w:name w:val="heading 2"/>
    <w:basedOn w:val="Normal"/>
    <w:uiPriority w:val="9"/>
    <w:unhideWhenUsed/>
    <w:qFormat/>
    <w:pPr>
      <w:jc w:val="both"/>
      <w:outlineLvl w:val="1"/>
    </w:pPr>
    <w:rPr>
      <w:b/>
      <w:bCs/>
      <w:sz w:val="24"/>
      <w:szCs w:val="24"/>
    </w:rPr>
  </w:style>
  <w:style w:type="paragraph" w:styleId="Heading3">
    <w:name w:val="heading 3"/>
    <w:basedOn w:val="Normal"/>
    <w:uiPriority w:val="9"/>
    <w:unhideWhenUsed/>
    <w:qFormat/>
    <w:pPr>
      <w:outlineLvl w:val="2"/>
    </w:pPr>
    <w:rPr>
      <w:rFonts w:ascii="Helvetica" w:eastAsia="Helvetica" w:hAnsi="Helvetica" w:cs="Helvetica"/>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00"/>
    </w:pPr>
    <w:rPr>
      <w:sz w:val="20"/>
      <w:szCs w:val="20"/>
    </w:rPr>
  </w:style>
  <w:style w:type="paragraph" w:styleId="ListParagraph">
    <w:name w:val="List Paragraph"/>
    <w:basedOn w:val="Normal"/>
    <w:uiPriority w:val="1"/>
    <w:qFormat/>
    <w:pPr>
      <w:spacing w:before="182"/>
      <w:ind w:left="300" w:hanging="30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43CBD"/>
    <w:rPr>
      <w:color w:val="0000FF" w:themeColor="hyperlink"/>
      <w:u w:val="single"/>
    </w:rPr>
  </w:style>
  <w:style w:type="character" w:styleId="UnresolvedMention">
    <w:name w:val="Unresolved Mention"/>
    <w:basedOn w:val="DefaultParagraphFont"/>
    <w:uiPriority w:val="99"/>
    <w:semiHidden/>
    <w:unhideWhenUsed/>
    <w:rsid w:val="00243CBD"/>
    <w:rPr>
      <w:color w:val="605E5C"/>
      <w:shd w:val="clear" w:color="auto" w:fill="E1DFDD"/>
    </w:rPr>
  </w:style>
  <w:style w:type="paragraph" w:styleId="Revision">
    <w:name w:val="Revision"/>
    <w:hidden/>
    <w:uiPriority w:val="99"/>
    <w:semiHidden/>
    <w:rsid w:val="00B3255D"/>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k-pa.org/psypact-cesppa-collaborato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755</Words>
  <Characters>4347</Characters>
  <Application>Microsoft Office Word</Application>
  <DocSecurity>0</DocSecurity>
  <Lines>73</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Marvo Reguindin</cp:lastModifiedBy>
  <cp:revision>2</cp:revision>
  <dcterms:created xsi:type="dcterms:W3CDTF">2026-09-04T02:57:00Z</dcterms:created>
  <dcterms:modified xsi:type="dcterms:W3CDTF">2026-09-04T02:57:00Z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2026-02-23T00:00:00Z</vt:filetime>
  </property>
  <property fmtid="{D5CDD505-2E9C-101B-9397-08002B2CF9AE}" pid="3" name="Creator">
    <vt:lpwstr>Adobe InDesign 20.5 (Macintosh)</vt:lpwstr>
  </property>
  <property fmtid="{D5CDD505-2E9C-101B-9397-08002B2CF9AE}" pid="4" name="LastSaved">
    <vt:filetime>2026-08-24T00:00:00Z</vt:filetime>
  </property>
  <property fmtid="{D5CDD505-2E9C-101B-9397-08002B2CF9AE}" pid="5" name="Producer">
    <vt:lpwstr>Adobe PDF Library 17.0</vt:lpwstr>
  </property>
</Properties>
</file>